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F95" w14:textId="6D2879D4" w:rsidR="00A1719A" w:rsidRPr="00A1719A" w:rsidRDefault="00A1719A" w:rsidP="00A1719A">
      <w:pPr>
        <w:pStyle w:val="ListParagraph"/>
        <w:numPr>
          <w:ilvl w:val="0"/>
          <w:numId w:val="1"/>
        </w:numPr>
        <w:rPr>
          <w:b/>
          <w:bCs/>
        </w:rPr>
      </w:pPr>
      <w:r w:rsidRPr="00A1719A">
        <w:rPr>
          <w:b/>
          <w:bCs/>
        </w:rPr>
        <w:t>For 1000-Liter Capacity Fuel Tank:</w:t>
      </w:r>
    </w:p>
    <w:p w14:paraId="11CAE31B" w14:textId="77777777" w:rsidR="00A1719A" w:rsidRPr="00A1719A" w:rsidRDefault="00A1719A" w:rsidP="00A1719A">
      <w:pPr>
        <w:rPr>
          <w:b/>
          <w:bCs/>
        </w:rPr>
      </w:pPr>
      <w:r w:rsidRPr="00A1719A">
        <w:rPr>
          <w:b/>
          <w:bCs/>
        </w:rPr>
        <w:t>Dipstick Measurement:</w:t>
      </w:r>
    </w:p>
    <w:p w14:paraId="2F772E45" w14:textId="77777777" w:rsidR="00A1719A" w:rsidRDefault="00A1719A" w:rsidP="00A1719A">
      <w:r>
        <w:t xml:space="preserve">The design must include a </w:t>
      </w:r>
      <w:proofErr w:type="gramStart"/>
      <w:r>
        <w:t>dipstick</w:t>
      </w:r>
      <w:proofErr w:type="gramEnd"/>
      <w:r>
        <w:t xml:space="preserve"> for precise measurement of fuel levels within the 1000-liter capacity tank.</w:t>
      </w:r>
    </w:p>
    <w:p w14:paraId="0A36CE08" w14:textId="77777777" w:rsidR="00A1719A" w:rsidRDefault="00A1719A" w:rsidP="00A1719A">
      <w:r>
        <w:t>The measurement scale of the dipstick should be aligned to accurately reflect the tank's capacity.</w:t>
      </w:r>
    </w:p>
    <w:p w14:paraId="738ACEE3" w14:textId="77777777" w:rsidR="00A1719A" w:rsidRDefault="00A1719A" w:rsidP="00A1719A">
      <w:r>
        <w:t>Detailed specifications for the dipstick are required in the proposals.</w:t>
      </w:r>
    </w:p>
    <w:p w14:paraId="2F2FCD55" w14:textId="77777777" w:rsidR="00A1719A" w:rsidRDefault="00A1719A" w:rsidP="00A1719A"/>
    <w:p w14:paraId="57E4FAE3" w14:textId="77777777" w:rsidR="00A1719A" w:rsidRPr="00A1719A" w:rsidRDefault="00A1719A" w:rsidP="00A1719A">
      <w:pPr>
        <w:rPr>
          <w:b/>
          <w:bCs/>
        </w:rPr>
      </w:pPr>
      <w:r w:rsidRPr="00A1719A">
        <w:rPr>
          <w:b/>
          <w:bCs/>
        </w:rPr>
        <w:t>Fuel Pump Integration:</w:t>
      </w:r>
    </w:p>
    <w:p w14:paraId="0679BB79" w14:textId="77777777" w:rsidR="00A1719A" w:rsidRDefault="00A1719A" w:rsidP="00A1719A">
      <w:r>
        <w:t>A pump is essential to transfer fuel from the storage container to the 1000-liter tank.</w:t>
      </w:r>
    </w:p>
    <w:p w14:paraId="0719BEBE" w14:textId="77777777" w:rsidR="00A1719A" w:rsidRDefault="00A1719A" w:rsidP="00A1719A">
      <w:r>
        <w:t>The pump should be installed at the outlet section of the fuel system.</w:t>
      </w:r>
    </w:p>
    <w:p w14:paraId="01B731D4" w14:textId="77777777" w:rsidR="00A1719A" w:rsidRDefault="00A1719A" w:rsidP="00A1719A">
      <w:r>
        <w:t>Efficiency and reliability considerations should guide the selection of the pump.</w:t>
      </w:r>
    </w:p>
    <w:p w14:paraId="6BFF4B55" w14:textId="77777777" w:rsidR="00A1719A" w:rsidRDefault="00A1719A" w:rsidP="00A1719A">
      <w:r>
        <w:t>Compatibility with the specific fuel type used by the generator is imperative.</w:t>
      </w:r>
    </w:p>
    <w:p w14:paraId="3BF9FA5C" w14:textId="77777777" w:rsidR="00A1719A" w:rsidRDefault="00A1719A" w:rsidP="00A1719A"/>
    <w:p w14:paraId="00067D5B" w14:textId="77777777" w:rsidR="00A1719A" w:rsidRPr="00A1719A" w:rsidRDefault="00A1719A" w:rsidP="00A1719A">
      <w:pPr>
        <w:rPr>
          <w:b/>
          <w:bCs/>
        </w:rPr>
      </w:pPr>
      <w:r w:rsidRPr="00A1719A">
        <w:rPr>
          <w:b/>
          <w:bCs/>
        </w:rPr>
        <w:t>Automatic Fuel Pump with Float Switch:</w:t>
      </w:r>
    </w:p>
    <w:p w14:paraId="712AC1AB" w14:textId="77777777" w:rsidR="00A1719A" w:rsidRDefault="00A1719A" w:rsidP="00A1719A">
      <w:r>
        <w:t>An automatic fuel pump equipped with a float switch is necessary for seamless fuel replenishment.</w:t>
      </w:r>
    </w:p>
    <w:p w14:paraId="1054C177" w14:textId="77777777" w:rsidR="00A1719A" w:rsidRDefault="00A1719A" w:rsidP="00A1719A">
      <w:r>
        <w:t>The float switch will regulate the pump's operation based on the fuel level in the 1000-liter tank.</w:t>
      </w:r>
    </w:p>
    <w:p w14:paraId="1E8EBBBD" w14:textId="77777777" w:rsidR="00A1719A" w:rsidRDefault="00A1719A" w:rsidP="00A1719A">
      <w:r>
        <w:t>Upon reaching a predetermined threshold, the float switch will activate the pump for refueling.</w:t>
      </w:r>
    </w:p>
    <w:p w14:paraId="64C4FC67" w14:textId="77777777" w:rsidR="00A1719A" w:rsidRDefault="00A1719A" w:rsidP="00A1719A">
      <w:r>
        <w:t>Deactivation of the pump will occur when the tank reaches a specified capacity to prevent overfilling.</w:t>
      </w:r>
    </w:p>
    <w:p w14:paraId="7413E4D7" w14:textId="77777777" w:rsidR="00A1719A" w:rsidRDefault="00A1719A" w:rsidP="00A1719A"/>
    <w:p w14:paraId="1DBE37DE" w14:textId="77777777" w:rsidR="0095778E" w:rsidRDefault="0095778E" w:rsidP="00A1719A"/>
    <w:p w14:paraId="1F15E979" w14:textId="77777777" w:rsidR="0095778E" w:rsidRDefault="0095778E" w:rsidP="00A1719A"/>
    <w:p w14:paraId="76CB731D" w14:textId="77777777" w:rsidR="0095778E" w:rsidRDefault="0095778E" w:rsidP="00A1719A"/>
    <w:p w14:paraId="1D4CC11B" w14:textId="2D00F82F" w:rsidR="00A1719A" w:rsidRPr="00B53836" w:rsidRDefault="00A1719A" w:rsidP="00A1719A">
      <w:pPr>
        <w:pStyle w:val="ListParagraph"/>
        <w:numPr>
          <w:ilvl w:val="0"/>
          <w:numId w:val="1"/>
        </w:numPr>
        <w:rPr>
          <w:b/>
          <w:bCs/>
        </w:rPr>
      </w:pPr>
      <w:r w:rsidRPr="00A1719A">
        <w:rPr>
          <w:b/>
          <w:bCs/>
        </w:rPr>
        <w:lastRenderedPageBreak/>
        <w:t>For 2000-Liter Capacity Fuel Tank:</w:t>
      </w:r>
    </w:p>
    <w:p w14:paraId="2498DFCF" w14:textId="77777777" w:rsidR="00A1719A" w:rsidRPr="00A1719A" w:rsidRDefault="00A1719A" w:rsidP="00A1719A">
      <w:pPr>
        <w:rPr>
          <w:b/>
          <w:bCs/>
        </w:rPr>
      </w:pPr>
      <w:r w:rsidRPr="00A1719A">
        <w:rPr>
          <w:b/>
          <w:bCs/>
        </w:rPr>
        <w:t>Dipstick Measurement:</w:t>
      </w:r>
    </w:p>
    <w:p w14:paraId="72DFD80C" w14:textId="77777777" w:rsidR="00A1719A" w:rsidRDefault="00A1719A" w:rsidP="00A1719A">
      <w:proofErr w:type="gramStart"/>
      <w:r>
        <w:t>Similar to</w:t>
      </w:r>
      <w:proofErr w:type="gramEnd"/>
      <w:r>
        <w:t xml:space="preserve"> the 1000-liter tank, the design must incorporate a dipstick for accurate fuel level measurement in the 2000-liter tank.</w:t>
      </w:r>
    </w:p>
    <w:p w14:paraId="10704A8F" w14:textId="77777777" w:rsidR="00A1719A" w:rsidRDefault="00A1719A" w:rsidP="00A1719A">
      <w:r>
        <w:t>The dipstick's measurement scale should be calibrated to match the tank's capacity.</w:t>
      </w:r>
    </w:p>
    <w:p w14:paraId="3EE90FB7" w14:textId="77777777" w:rsidR="00A1719A" w:rsidRDefault="00A1719A" w:rsidP="00A1719A">
      <w:r>
        <w:t>Bidders are expected to provide detailed specifications for the dipstick in their proposals.</w:t>
      </w:r>
    </w:p>
    <w:p w14:paraId="0E0CA910" w14:textId="77777777" w:rsidR="00A1719A" w:rsidRDefault="00A1719A" w:rsidP="00A1719A"/>
    <w:p w14:paraId="16BE8C87" w14:textId="77777777" w:rsidR="00A1719A" w:rsidRPr="00A1719A" w:rsidRDefault="00A1719A" w:rsidP="00A1719A">
      <w:pPr>
        <w:rPr>
          <w:b/>
          <w:bCs/>
        </w:rPr>
      </w:pPr>
      <w:r w:rsidRPr="00A1719A">
        <w:rPr>
          <w:b/>
          <w:bCs/>
        </w:rPr>
        <w:t>Fuel Pump Integration:</w:t>
      </w:r>
    </w:p>
    <w:p w14:paraId="2721D5FC" w14:textId="77777777" w:rsidR="00A1719A" w:rsidRDefault="00A1719A" w:rsidP="00A1719A"/>
    <w:p w14:paraId="581AEE33" w14:textId="77777777" w:rsidR="00A1719A" w:rsidRDefault="00A1719A" w:rsidP="00A1719A">
      <w:r>
        <w:t>A pump is required to facilitate fuel transfer from the storage container to the 2000-liter tank.</w:t>
      </w:r>
    </w:p>
    <w:p w14:paraId="1C310993" w14:textId="77777777" w:rsidR="00A1719A" w:rsidRDefault="00A1719A" w:rsidP="00A1719A">
      <w:r>
        <w:t>Installation of the pump at the tank's outlet section is necessary.</w:t>
      </w:r>
    </w:p>
    <w:p w14:paraId="20490739" w14:textId="77777777" w:rsidR="00A1719A" w:rsidRDefault="00A1719A" w:rsidP="00A1719A">
      <w:r>
        <w:t>Consideration should be given to the efficiency and reliability of the pump.</w:t>
      </w:r>
    </w:p>
    <w:p w14:paraId="2CA6DFBD" w14:textId="77777777" w:rsidR="00A1719A" w:rsidRDefault="00A1719A" w:rsidP="00A1719A">
      <w:r>
        <w:t>Compatibility with the generator's fuel type is essential.</w:t>
      </w:r>
    </w:p>
    <w:p w14:paraId="18E21AD2" w14:textId="77777777" w:rsidR="00A1719A" w:rsidRDefault="00A1719A" w:rsidP="00A1719A"/>
    <w:p w14:paraId="352BB6DE" w14:textId="77777777" w:rsidR="00A1719A" w:rsidRPr="00A1719A" w:rsidRDefault="00A1719A" w:rsidP="00A1719A">
      <w:pPr>
        <w:rPr>
          <w:b/>
          <w:bCs/>
        </w:rPr>
      </w:pPr>
      <w:r w:rsidRPr="00A1719A">
        <w:rPr>
          <w:b/>
          <w:bCs/>
        </w:rPr>
        <w:t>Automatic Fuel Pump with Float Switch:</w:t>
      </w:r>
    </w:p>
    <w:p w14:paraId="1FEDB124" w14:textId="77777777" w:rsidR="00A1719A" w:rsidRDefault="00A1719A" w:rsidP="00A1719A">
      <w:r>
        <w:t>An automatic fuel pump with a float switch is crucial for efficient fuel replenishment.</w:t>
      </w:r>
    </w:p>
    <w:p w14:paraId="7CB1645A" w14:textId="77777777" w:rsidR="00A1719A" w:rsidRDefault="00A1719A" w:rsidP="00A1719A">
      <w:r>
        <w:t>The float switch will control the pump's operation based on the fuel level in the 2000-liter tank.</w:t>
      </w:r>
    </w:p>
    <w:p w14:paraId="3C63CC54" w14:textId="77777777" w:rsidR="00A1719A" w:rsidRDefault="00A1719A" w:rsidP="00A1719A">
      <w:r>
        <w:t>Activation of the pump will occur when the fuel level falls below a set threshold.</w:t>
      </w:r>
    </w:p>
    <w:p w14:paraId="5BA28144" w14:textId="77777777" w:rsidR="00A1719A" w:rsidRDefault="00A1719A" w:rsidP="00A1719A">
      <w:r>
        <w:t>Pump deactivation will prevent overfilling when the tank reaches its capacity.</w:t>
      </w:r>
    </w:p>
    <w:p w14:paraId="0445E3E0" w14:textId="77777777" w:rsidR="00A1719A" w:rsidRDefault="00A1719A" w:rsidP="00A1719A"/>
    <w:p w14:paraId="462B1572" w14:textId="77777777" w:rsidR="0095778E" w:rsidRDefault="0095778E" w:rsidP="00A1719A"/>
    <w:p w14:paraId="768777EE" w14:textId="77777777" w:rsidR="00B53836" w:rsidRDefault="00B53836" w:rsidP="00A1719A"/>
    <w:p w14:paraId="0843B782" w14:textId="77777777" w:rsidR="00A1719A" w:rsidRPr="00A1719A" w:rsidRDefault="00A1719A" w:rsidP="00A1719A">
      <w:pPr>
        <w:rPr>
          <w:b/>
          <w:bCs/>
        </w:rPr>
      </w:pPr>
      <w:r w:rsidRPr="00A1719A">
        <w:rPr>
          <w:b/>
          <w:bCs/>
        </w:rPr>
        <w:lastRenderedPageBreak/>
        <w:t>General Requirements for Both Tank Capacities:</w:t>
      </w:r>
    </w:p>
    <w:p w14:paraId="4264FF61" w14:textId="77777777" w:rsidR="00A1719A" w:rsidRDefault="00A1719A" w:rsidP="00A1719A">
      <w:r w:rsidRPr="00A1719A">
        <w:rPr>
          <w:b/>
          <w:bCs/>
        </w:rPr>
        <w:t>Compliance and Safety Standards:</w:t>
      </w:r>
      <w:r>
        <w:t xml:space="preserve"> All components and materials must adhere to industry standards and regulations. Safety features should be integrated to mitigate risks.</w:t>
      </w:r>
    </w:p>
    <w:p w14:paraId="78049645" w14:textId="77777777" w:rsidR="00A1719A" w:rsidRDefault="00A1719A" w:rsidP="00A1719A">
      <w:r w:rsidRPr="00A1719A">
        <w:rPr>
          <w:b/>
          <w:bCs/>
        </w:rPr>
        <w:t>Maintenance and Support:</w:t>
      </w:r>
      <w:r>
        <w:t xml:space="preserve"> Proposals should include provisions for ongoing maintenance, warranty periods, spare parts availability, and technical support.</w:t>
      </w:r>
    </w:p>
    <w:p w14:paraId="2769E867" w14:textId="709FF793" w:rsidR="002B72AF" w:rsidRDefault="00A1719A" w:rsidP="00A1719A">
      <w:r w:rsidRPr="00A1719A">
        <w:rPr>
          <w:b/>
          <w:bCs/>
        </w:rPr>
        <w:t>Cost and Delivery Schedule:</w:t>
      </w:r>
      <w:r>
        <w:t xml:space="preserve"> Bidders should submit detailed pricing and delivery schedules for their proposed solutions.</w:t>
      </w:r>
    </w:p>
    <w:p w14:paraId="37CBC71A" w14:textId="77777777" w:rsidR="0095778E" w:rsidRDefault="0095778E" w:rsidP="00A1719A"/>
    <w:p w14:paraId="238605D1" w14:textId="04438F3B" w:rsidR="0095778E" w:rsidRPr="0095778E" w:rsidRDefault="0095778E" w:rsidP="00A1719A">
      <w:pPr>
        <w:rPr>
          <w:b/>
          <w:bCs/>
        </w:rPr>
      </w:pPr>
      <w:r w:rsidRPr="0095778E">
        <w:rPr>
          <w:b/>
          <w:bCs/>
        </w:rPr>
        <w:t>Diagram of the system:</w:t>
      </w:r>
    </w:p>
    <w:p w14:paraId="106A9651" w14:textId="41EBCE98" w:rsidR="0095778E" w:rsidRPr="00A1719A" w:rsidRDefault="0095778E" w:rsidP="004E1C94">
      <w:pPr>
        <w:ind w:hanging="1350"/>
      </w:pPr>
      <w:r>
        <w:rPr>
          <w:noProof/>
        </w:rPr>
        <w:drawing>
          <wp:inline distT="0" distB="0" distL="0" distR="0" wp14:anchorId="0E616F1E" wp14:editId="4B025675">
            <wp:extent cx="9886950" cy="3655454"/>
            <wp:effectExtent l="0" t="0" r="0" b="2540"/>
            <wp:docPr id="1" name="Picture 1" descr="A diagram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443" cy="36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78E" w:rsidRPr="00A1719A" w:rsidSect="00E35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67C0B"/>
    <w:multiLevelType w:val="hybridMultilevel"/>
    <w:tmpl w:val="1E52A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95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62"/>
    <w:rsid w:val="00056162"/>
    <w:rsid w:val="002B72AF"/>
    <w:rsid w:val="004E1C94"/>
    <w:rsid w:val="0050366B"/>
    <w:rsid w:val="00671247"/>
    <w:rsid w:val="0095778E"/>
    <w:rsid w:val="00A1719A"/>
    <w:rsid w:val="00B53836"/>
    <w:rsid w:val="00E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AEC0"/>
  <w15:chartTrackingRefBased/>
  <w15:docId w15:val="{BB7809E3-D2EF-439E-A2DF-CF0EF48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1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1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1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1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1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1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1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1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1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1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1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1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1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1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1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1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1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1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61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1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61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61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61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61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61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1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1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616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Saygin</dc:creator>
  <cp:keywords/>
  <dc:description/>
  <cp:lastModifiedBy>OZAN Saygin</cp:lastModifiedBy>
  <cp:revision>5</cp:revision>
  <dcterms:created xsi:type="dcterms:W3CDTF">2024-03-19T18:40:00Z</dcterms:created>
  <dcterms:modified xsi:type="dcterms:W3CDTF">2024-03-20T17:54:00Z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2024-03-19T18:43:47Z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3dd35edd-d68b-4250-a4f7-4e5407ca1c27</vt:lpwstr>
  </property>
  <property fmtid="{D5CDD505-2E9C-101B-9397-08002B2CF9AE}" pid="8" name="MSIP_Label_2059aa38-f392-4105-be92-628035578272_ContentBits">
    <vt:lpwstr>0</vt:lpwstr>
  </property>
</Properties>
</file>